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铜陵市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第二人民医院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一般公共预算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“三公”经费预算</w:t>
      </w:r>
    </w:p>
    <w:p>
      <w:pPr>
        <w:rPr>
          <w:rFonts w:hint="eastAsia" w:ascii="宋体" w:hAnsi="宋体"/>
          <w:color w:val="auto"/>
          <w:sz w:val="6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一、</w:t>
      </w:r>
      <w:r>
        <w:rPr>
          <w:rFonts w:hint="eastAsia" w:ascii="黑体" w:hAnsi="黑体" w:eastAsia="黑体"/>
          <w:color w:val="auto"/>
          <w:szCs w:val="32"/>
          <w:lang w:eastAsia="zh-CN"/>
        </w:rPr>
        <w:t>2024年</w:t>
      </w:r>
      <w:r>
        <w:rPr>
          <w:rFonts w:hint="eastAsia" w:ascii="黑体" w:hAnsi="黑体" w:eastAsia="黑体"/>
          <w:color w:val="auto"/>
          <w:szCs w:val="32"/>
        </w:rPr>
        <w:t>一般公共预算“三公”经费支出预算表</w:t>
      </w:r>
    </w:p>
    <w:p>
      <w:pPr>
        <w:adjustRightInd w:val="0"/>
        <w:snapToGrid w:val="0"/>
        <w:ind w:firstLine="509" w:firstLineChars="196"/>
        <w:jc w:val="right"/>
        <w:rPr>
          <w:rStyle w:val="6"/>
          <w:rFonts w:hint="eastAsia" w:ascii="宋体" w:hAnsi="宋体" w:eastAsia="宋体" w:cs="宋体"/>
          <w:b w:val="0"/>
          <w:color w:val="auto"/>
          <w:sz w:val="26"/>
          <w:szCs w:val="26"/>
        </w:rPr>
      </w:pPr>
      <w:r>
        <w:rPr>
          <w:rStyle w:val="6"/>
          <w:rFonts w:hint="eastAsia" w:ascii="宋体" w:hAnsi="宋体" w:eastAsia="宋体" w:cs="宋体"/>
          <w:b w:val="0"/>
          <w:color w:val="auto"/>
          <w:sz w:val="26"/>
          <w:szCs w:val="26"/>
        </w:rPr>
        <w:t xml:space="preserve">      单位：万元</w:t>
      </w:r>
    </w:p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910"/>
        <w:gridCol w:w="882"/>
        <w:gridCol w:w="1780"/>
        <w:gridCol w:w="1890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>
        <w:trPr>
          <w:trHeight w:val="592" w:hRule="atLeast"/>
          <w:jc w:val="center"/>
        </w:trPr>
        <w:tc>
          <w:tcPr>
            <w:tcW w:w="1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646" w:hRule="atLeast"/>
          <w:jc w:val="center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00" w:firstLineChars="1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outlineLvl w:val="0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二、</w:t>
      </w:r>
      <w:r>
        <w:rPr>
          <w:rFonts w:hint="eastAsia" w:ascii="黑体" w:hAnsi="黑体" w:eastAsia="黑体"/>
          <w:color w:val="auto"/>
          <w:szCs w:val="32"/>
          <w:lang w:eastAsia="zh-CN"/>
        </w:rPr>
        <w:t>2024年</w:t>
      </w:r>
      <w:r>
        <w:rPr>
          <w:rFonts w:hint="eastAsia" w:ascii="黑体" w:hAnsi="黑体" w:eastAsia="黑体"/>
          <w:color w:val="auto"/>
          <w:szCs w:val="32"/>
        </w:rPr>
        <w:t>一般公共预算“三公”经费支出预算情况说明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hAnsi="仿宋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铜陵市</w:t>
      </w: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第二人民医院</w:t>
      </w:r>
      <w:r>
        <w:rPr>
          <w:rFonts w:hint="eastAsia" w:hAnsi="仿宋"/>
          <w:color w:val="auto"/>
          <w:szCs w:val="32"/>
          <w:lang w:eastAsia="zh-CN"/>
        </w:rPr>
        <w:t>2024年</w:t>
      </w:r>
      <w:r>
        <w:rPr>
          <w:rFonts w:hint="eastAsia" w:hAnsi="仿宋"/>
          <w:color w:val="auto"/>
          <w:szCs w:val="32"/>
        </w:rPr>
        <w:t>一般公共预算“三公”经费支出预算为</w:t>
      </w:r>
      <w:r>
        <w:rPr>
          <w:rFonts w:hint="eastAsia" w:hAnsi="仿宋"/>
          <w:color w:val="auto"/>
          <w:szCs w:val="32"/>
          <w:lang w:val="en-US" w:eastAsia="zh-CN"/>
        </w:rPr>
        <w:t>0</w:t>
      </w:r>
      <w:r>
        <w:rPr>
          <w:rFonts w:hint="eastAsia" w:hAnsi="仿宋"/>
          <w:color w:val="auto"/>
          <w:szCs w:val="32"/>
        </w:rPr>
        <w:t>万元，比</w:t>
      </w:r>
      <w:r>
        <w:rPr>
          <w:rFonts w:hint="eastAsia" w:hAnsi="仿宋"/>
          <w:color w:val="auto"/>
          <w:szCs w:val="32"/>
          <w:lang w:eastAsia="zh-CN"/>
        </w:rPr>
        <w:t>2023年</w:t>
      </w:r>
      <w:r>
        <w:rPr>
          <w:rFonts w:hint="eastAsia" w:hAnsi="仿宋"/>
          <w:color w:val="auto"/>
          <w:szCs w:val="32"/>
        </w:rPr>
        <w:t>预算</w:t>
      </w:r>
      <w:r>
        <w:rPr>
          <w:rFonts w:hint="eastAsia" w:hAnsi="仿宋"/>
          <w:color w:val="auto"/>
          <w:sz w:val="32"/>
          <w:szCs w:val="32"/>
          <w:lang w:eastAsia="zh-CN"/>
        </w:rPr>
        <w:t>持平</w:t>
      </w:r>
      <w:r>
        <w:rPr>
          <w:rFonts w:hint="eastAsia" w:hAnsi="仿宋"/>
          <w:color w:val="auto"/>
          <w:szCs w:val="32"/>
        </w:rPr>
        <w:t>。其中：因公出国（境）费支出预算为</w:t>
      </w:r>
      <w:r>
        <w:rPr>
          <w:rFonts w:hint="eastAsia" w:hAnsi="仿宋"/>
          <w:color w:val="auto"/>
          <w:szCs w:val="32"/>
          <w:lang w:val="en-US" w:eastAsia="zh-CN"/>
        </w:rPr>
        <w:t>0</w:t>
      </w:r>
      <w:r>
        <w:rPr>
          <w:rFonts w:hint="eastAsia" w:hAnsi="仿宋"/>
          <w:color w:val="auto"/>
          <w:szCs w:val="32"/>
        </w:rPr>
        <w:t>万元，公务接待费支出预算为</w:t>
      </w:r>
      <w:r>
        <w:rPr>
          <w:rFonts w:hint="eastAsia" w:hAnsi="仿宋"/>
          <w:color w:val="auto"/>
          <w:szCs w:val="32"/>
          <w:lang w:val="en-US" w:eastAsia="zh-CN"/>
        </w:rPr>
        <w:t>0</w:t>
      </w:r>
      <w:r>
        <w:rPr>
          <w:rFonts w:hint="eastAsia" w:hAnsi="仿宋"/>
          <w:color w:val="auto"/>
          <w:szCs w:val="32"/>
        </w:rPr>
        <w:t>万元，公务用车购置及运行费支出预算为</w:t>
      </w:r>
      <w:r>
        <w:rPr>
          <w:rFonts w:hint="eastAsia" w:hAnsi="仿宋"/>
          <w:color w:val="auto"/>
          <w:szCs w:val="32"/>
          <w:lang w:val="en-US" w:eastAsia="zh-CN"/>
        </w:rPr>
        <w:t>0</w:t>
      </w:r>
      <w:r>
        <w:rPr>
          <w:rFonts w:hint="eastAsia" w:hAnsi="仿宋"/>
          <w:color w:val="auto"/>
          <w:szCs w:val="32"/>
        </w:rPr>
        <w:t>万元。具体情况如下：</w:t>
      </w:r>
    </w:p>
    <w:p>
      <w:pPr>
        <w:pStyle w:val="3"/>
        <w:adjustRightInd w:val="0"/>
        <w:snapToGrid w:val="0"/>
        <w:spacing w:before="0" w:beforeLines="0" w:beforeAutospacing="0" w:after="0" w:afterLines="0" w:afterAutospacing="0" w:line="600" w:lineRule="exact"/>
        <w:ind w:firstLine="643" w:firstLineChars="200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（一）因公出国（境）费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万元, 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预算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持平，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持平原因主要是本年和上年均未安排因公出国（境）费。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经费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使用严格执行《安徽省省直党政机关因公临时出国经费管理办法》（财行〔2014〕104号）、《安徽省省直党政机关因公短期出国培训费用管理办法》（财行〔2014〕527号）等相关规定。</w:t>
      </w:r>
    </w:p>
    <w:p>
      <w:pPr>
        <w:pStyle w:val="3"/>
        <w:adjustRightInd w:val="0"/>
        <w:snapToGrid w:val="0"/>
        <w:spacing w:before="0" w:beforeLines="0" w:beforeAutospacing="0" w:after="0" w:afterLines="0" w:afterAutospacing="0" w:line="600" w:lineRule="exact"/>
        <w:ind w:firstLine="643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（二）公务用车购置及运行费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预算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。其中：公务用车运行费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预算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持平，持平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原因主要是202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和2024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均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未安排公务用车运行费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该项经费主要用于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车辆保养；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公务用车购置费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预算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持平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原因主要是202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和2024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均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未安排公务用车购置费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该项经费主要用于车辆购置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3"/>
        <w:adjustRightInd w:val="0"/>
        <w:snapToGrid w:val="0"/>
        <w:spacing w:before="0" w:beforeLines="0" w:beforeAutospacing="0" w:after="0" w:afterLines="0" w:afterAutospacing="0" w:line="600" w:lineRule="exact"/>
        <w:ind w:firstLine="643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（三）公务接待费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2023年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预算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持平，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持平原因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是2023年和2024年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未安</w:t>
      </w:r>
      <w:r>
        <w:rPr>
          <w:rFonts w:hint="eastAsia" w:ascii="Times New Roman" w:hAnsi="Times New Roman" w:eastAsia="仿宋" w:cs="Times New Roman"/>
          <w:sz w:val="32"/>
          <w:szCs w:val="32"/>
        </w:rPr>
        <w:t>排公务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接待费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</w:rPr>
        <w:t>该项经费主要用于接待上级、外市单位业务指导和工作调研等公务往来支出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经费使用严格执行《党政机关厉行节约反对浪费条例》、《铜陵市党政机关国内公务接待管理办法》、《铜陵市市直机关公务接待费管理暂行办法》（财行〔2015〕248号）等规定。</w:t>
      </w:r>
    </w:p>
    <w:p>
      <w:pPr>
        <w:pStyle w:val="3"/>
        <w:adjustRightInd w:val="0"/>
        <w:snapToGrid w:val="0"/>
        <w:spacing w:before="0" w:beforeLines="0" w:beforeAutospacing="0" w:after="0" w:afterLines="0" w:afterAutospacing="0" w:line="600" w:lineRule="exact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3C1490A"/>
    <w:rsid w:val="169710D4"/>
    <w:rsid w:val="24460593"/>
    <w:rsid w:val="31F909EE"/>
    <w:rsid w:val="3BC1419E"/>
    <w:rsid w:val="40C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color w:val="020202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styleId="6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丁莉</cp:lastModifiedBy>
  <dcterms:modified xsi:type="dcterms:W3CDTF">2024-03-04T07:11:56Z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94C24B3764C347DCA6F72E56D4D8E39A_12</vt:lpwstr>
  </property>
</Properties>
</file>